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14" w:rsidRDefault="00E41B36">
      <w:pPr>
        <w:pStyle w:val="10"/>
        <w:keepNext/>
        <w:keepLines/>
      </w:pPr>
      <w:bookmarkStart w:id="0" w:name="bookmark0"/>
      <w:bookmarkStart w:id="1" w:name="bookmark1"/>
      <w:bookmarkStart w:id="2" w:name="bookmark2"/>
      <w:r>
        <w:t>Целевое обучение в 2025 году</w:t>
      </w:r>
      <w:bookmarkEnd w:id="0"/>
      <w:bookmarkEnd w:id="1"/>
      <w:bookmarkEnd w:id="2"/>
    </w:p>
    <w:p w:rsidR="00B03714" w:rsidRDefault="00E41B36">
      <w:pPr>
        <w:pStyle w:val="20"/>
        <w:keepNext/>
        <w:keepLines/>
        <w:jc w:val="center"/>
      </w:pPr>
      <w:bookmarkStart w:id="3" w:name="bookmark3"/>
      <w:bookmarkStart w:id="4" w:name="bookmark4"/>
      <w:bookmarkStart w:id="5" w:name="bookmark5"/>
      <w:r>
        <w:t>Нормативно-правовая база</w:t>
      </w:r>
      <w:bookmarkEnd w:id="3"/>
      <w:bookmarkEnd w:id="4"/>
      <w:bookmarkEnd w:id="5"/>
    </w:p>
    <w:p w:rsidR="00B03714" w:rsidRDefault="00E41B36">
      <w:pPr>
        <w:pStyle w:val="11"/>
        <w:spacing w:after="340"/>
        <w:ind w:firstLine="440"/>
        <w:jc w:val="both"/>
      </w:pPr>
      <w:r>
        <w:t>Постановление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(далее - Постановление)</w:t>
      </w:r>
    </w:p>
    <w:p w:rsidR="00B03714" w:rsidRDefault="00E41B36">
      <w:pPr>
        <w:pStyle w:val="a5"/>
      </w:pPr>
      <w:r>
        <w:t>Основные изменения вступили в силу с 2024 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87"/>
        <w:gridCol w:w="163"/>
        <w:gridCol w:w="4680"/>
      </w:tblGrid>
      <w:tr w:rsidR="00B03714" w:rsidRPr="0037593F">
        <w:trPr>
          <w:trHeight w:hRule="exact" w:val="1152"/>
          <w:jc w:val="center"/>
        </w:trPr>
        <w:tc>
          <w:tcPr>
            <w:tcW w:w="4387" w:type="dxa"/>
            <w:tcBorders>
              <w:top w:val="single" w:sz="4" w:space="0" w:color="auto"/>
              <w:left w:val="single" w:sz="4" w:space="0" w:color="auto"/>
            </w:tcBorders>
            <w:shd w:val="clear" w:color="auto" w:fill="FFFFFF"/>
          </w:tcPr>
          <w:p w:rsidR="00B03714" w:rsidRPr="0037593F" w:rsidRDefault="00E41B36">
            <w:pPr>
              <w:pStyle w:val="a7"/>
              <w:spacing w:after="0" w:line="240" w:lineRule="auto"/>
              <w:rPr>
                <w:sz w:val="24"/>
                <w:szCs w:val="24"/>
              </w:rPr>
            </w:pPr>
            <w:r w:rsidRPr="0037593F">
              <w:rPr>
                <w:rFonts w:eastAsia="Calibri"/>
                <w:color w:val="3E4466"/>
                <w:sz w:val="24"/>
                <w:szCs w:val="24"/>
              </w:rPr>
              <w:t xml:space="preserve">Было в постановлении Правительства №1681 от 13.10.2020 "О целевом обучении по образовательным программам среднего </w:t>
            </w:r>
            <w:r w:rsidRPr="0037593F">
              <w:rPr>
                <w:rFonts w:eastAsia="Calibri"/>
                <w:color w:val="3E4466"/>
                <w:sz w:val="24"/>
                <w:szCs w:val="24"/>
                <w:shd w:val="clear" w:color="auto" w:fill="80FFFF"/>
              </w:rPr>
              <w:t>^</w:t>
            </w:r>
            <w:r w:rsidRPr="0037593F">
              <w:rPr>
                <w:rFonts w:eastAsia="Calibri"/>
                <w:color w:val="3E4466"/>
                <w:sz w:val="24"/>
                <w:szCs w:val="24"/>
              </w:rPr>
              <w:t>профессионального и высшего образования"</w:t>
            </w:r>
            <w:r w:rsidRPr="0037593F">
              <w:rPr>
                <w:rFonts w:eastAsia="Calibri"/>
                <w:color w:val="3E4466"/>
                <w:sz w:val="24"/>
                <w:szCs w:val="24"/>
                <w:shd w:val="clear" w:color="auto" w:fill="80FFFF"/>
              </w:rPr>
              <w:t xml:space="preserve"> </w:t>
            </w:r>
            <w:r w:rsidRPr="0037593F">
              <w:rPr>
                <w:rFonts w:eastAsia="Calibri"/>
                <w:i/>
                <w:iCs/>
                <w:color w:val="3E4466"/>
                <w:sz w:val="24"/>
                <w:szCs w:val="24"/>
                <w:shd w:val="clear" w:color="auto" w:fill="80FFFF"/>
              </w:rPr>
              <w:t>j</w:t>
            </w:r>
          </w:p>
        </w:tc>
        <w:tc>
          <w:tcPr>
            <w:tcW w:w="163" w:type="dxa"/>
            <w:tcBorders>
              <w:left w:val="single" w:sz="4" w:space="0" w:color="auto"/>
            </w:tcBorders>
            <w:shd w:val="clear" w:color="auto" w:fill="FFFFFF"/>
            <w:vAlign w:val="center"/>
          </w:tcPr>
          <w:p w:rsidR="00B03714" w:rsidRPr="0037593F" w:rsidRDefault="00E41B36">
            <w:pPr>
              <w:pStyle w:val="a7"/>
              <w:spacing w:after="0" w:line="240" w:lineRule="auto"/>
              <w:jc w:val="both"/>
              <w:rPr>
                <w:sz w:val="24"/>
                <w:szCs w:val="24"/>
              </w:rPr>
            </w:pPr>
            <w:r w:rsidRPr="0037593F">
              <w:rPr>
                <w:color w:val="5E6BB8"/>
                <w:sz w:val="24"/>
                <w:szCs w:val="24"/>
                <w:shd w:val="clear" w:color="auto" w:fill="80FFFF"/>
              </w:rPr>
              <w:t>*</w:t>
            </w:r>
          </w:p>
        </w:tc>
        <w:tc>
          <w:tcPr>
            <w:tcW w:w="4680" w:type="dxa"/>
            <w:tcBorders>
              <w:top w:val="single" w:sz="4" w:space="0" w:color="auto"/>
              <w:left w:val="single" w:sz="4" w:space="0" w:color="auto"/>
              <w:right w:val="single" w:sz="4" w:space="0" w:color="auto"/>
            </w:tcBorders>
            <w:shd w:val="clear" w:color="auto" w:fill="FFFFFF"/>
          </w:tcPr>
          <w:p w:rsidR="00B03714" w:rsidRPr="0037593F" w:rsidRDefault="00E41B36">
            <w:pPr>
              <w:pStyle w:val="a7"/>
              <w:spacing w:after="0" w:line="240" w:lineRule="auto"/>
              <w:jc w:val="center"/>
              <w:rPr>
                <w:sz w:val="24"/>
                <w:szCs w:val="24"/>
              </w:rPr>
            </w:pPr>
            <w:r w:rsidRPr="0037593F">
              <w:rPr>
                <w:rFonts w:eastAsia="Calibri"/>
                <w:color w:val="3E4466"/>
                <w:sz w:val="24"/>
                <w:szCs w:val="24"/>
              </w:rPr>
              <w:t>Стало в постановлении Правительства №555 от 27.04.2024 "О целевом обучении по образовательным программам среднего профессионального и высшего образования"</w:t>
            </w:r>
          </w:p>
        </w:tc>
      </w:tr>
      <w:tr w:rsidR="00B03714" w:rsidRPr="0037593F">
        <w:trPr>
          <w:trHeight w:hRule="exact" w:val="1003"/>
          <w:jc w:val="center"/>
        </w:trPr>
        <w:tc>
          <w:tcPr>
            <w:tcW w:w="4387" w:type="dxa"/>
            <w:tcBorders>
              <w:top w:val="single" w:sz="4" w:space="0" w:color="auto"/>
            </w:tcBorders>
            <w:shd w:val="clear" w:color="auto" w:fill="D3DDFA"/>
            <w:vAlign w:val="center"/>
          </w:tcPr>
          <w:p w:rsidR="00B03714" w:rsidRPr="0037593F" w:rsidRDefault="00E41B36">
            <w:pPr>
              <w:pStyle w:val="a7"/>
              <w:spacing w:after="0" w:line="252" w:lineRule="auto"/>
              <w:jc w:val="center"/>
              <w:rPr>
                <w:sz w:val="24"/>
                <w:szCs w:val="24"/>
              </w:rPr>
            </w:pPr>
            <w:r w:rsidRPr="0037593F">
              <w:rPr>
                <w:rFonts w:eastAsia="Calibri"/>
                <w:sz w:val="24"/>
                <w:szCs w:val="24"/>
              </w:rPr>
              <w:t>Взаимодействие заказчиков и граждан напрямую</w:t>
            </w:r>
          </w:p>
        </w:tc>
        <w:tc>
          <w:tcPr>
            <w:tcW w:w="163" w:type="dxa"/>
            <w:shd w:val="clear" w:color="auto" w:fill="FFFFFF"/>
            <w:vAlign w:val="center"/>
          </w:tcPr>
          <w:p w:rsidR="00B03714" w:rsidRPr="0037593F" w:rsidRDefault="00E41B36">
            <w:pPr>
              <w:pStyle w:val="a7"/>
              <w:spacing w:after="0" w:line="240" w:lineRule="auto"/>
              <w:jc w:val="both"/>
              <w:rPr>
                <w:sz w:val="24"/>
                <w:szCs w:val="24"/>
              </w:rPr>
            </w:pPr>
            <w:r w:rsidRPr="0037593F">
              <w:rPr>
                <w:color w:val="8991AF"/>
                <w:sz w:val="24"/>
                <w:szCs w:val="24"/>
              </w:rPr>
              <w:t>—</w:t>
            </w:r>
            <w:r w:rsidRPr="0037593F">
              <w:rPr>
                <w:color w:val="5E6BB8"/>
                <w:sz w:val="24"/>
                <w:szCs w:val="24"/>
                <w:shd w:val="clear" w:color="auto" w:fill="80FFFF"/>
              </w:rPr>
              <w:t>►</w:t>
            </w:r>
          </w:p>
        </w:tc>
        <w:tc>
          <w:tcPr>
            <w:tcW w:w="4680" w:type="dxa"/>
            <w:tcBorders>
              <w:top w:val="single" w:sz="4" w:space="0" w:color="auto"/>
            </w:tcBorders>
            <w:shd w:val="clear" w:color="auto" w:fill="D3DDFA"/>
            <w:vAlign w:val="center"/>
          </w:tcPr>
          <w:p w:rsidR="00B03714" w:rsidRPr="0037593F" w:rsidRDefault="00E41B36">
            <w:pPr>
              <w:pStyle w:val="a7"/>
              <w:spacing w:after="0" w:line="240" w:lineRule="auto"/>
              <w:jc w:val="center"/>
              <w:rPr>
                <w:sz w:val="24"/>
                <w:szCs w:val="24"/>
              </w:rPr>
            </w:pPr>
            <w:r w:rsidRPr="0037593F">
              <w:rPr>
                <w:rFonts w:eastAsia="Calibri"/>
                <w:color w:val="121624"/>
                <w:sz w:val="24"/>
                <w:szCs w:val="24"/>
              </w:rPr>
              <w:t>Взаимодействие заказчиков и граждан посредством ЕЦП «Работа в России»</w:t>
            </w:r>
          </w:p>
        </w:tc>
      </w:tr>
      <w:tr w:rsidR="00B03714" w:rsidRPr="0037593F">
        <w:trPr>
          <w:trHeight w:hRule="exact" w:val="869"/>
          <w:jc w:val="center"/>
        </w:trPr>
        <w:tc>
          <w:tcPr>
            <w:tcW w:w="4387" w:type="dxa"/>
            <w:shd w:val="clear" w:color="auto" w:fill="D3DDFA"/>
            <w:vAlign w:val="center"/>
          </w:tcPr>
          <w:p w:rsidR="00B03714" w:rsidRPr="0037593F" w:rsidRDefault="00E41B36">
            <w:pPr>
              <w:pStyle w:val="a7"/>
              <w:spacing w:after="0" w:line="262" w:lineRule="auto"/>
              <w:jc w:val="center"/>
              <w:rPr>
                <w:sz w:val="24"/>
                <w:szCs w:val="24"/>
              </w:rPr>
            </w:pPr>
            <w:r w:rsidRPr="0037593F">
              <w:rPr>
                <w:rFonts w:eastAsia="Calibri"/>
                <w:color w:val="121624"/>
                <w:sz w:val="24"/>
                <w:szCs w:val="24"/>
              </w:rPr>
              <w:t>Гражданин заключает договоры с неограниченным количеством заказчиков</w:t>
            </w:r>
          </w:p>
        </w:tc>
        <w:tc>
          <w:tcPr>
            <w:tcW w:w="163" w:type="dxa"/>
            <w:shd w:val="clear" w:color="auto" w:fill="FFFFFF"/>
            <w:vAlign w:val="center"/>
          </w:tcPr>
          <w:p w:rsidR="00B03714" w:rsidRPr="0037593F" w:rsidRDefault="00E41B36">
            <w:pPr>
              <w:pStyle w:val="a7"/>
              <w:spacing w:after="0" w:line="240" w:lineRule="auto"/>
              <w:jc w:val="both"/>
              <w:rPr>
                <w:sz w:val="24"/>
                <w:szCs w:val="24"/>
              </w:rPr>
            </w:pPr>
            <w:r w:rsidRPr="0037593F">
              <w:rPr>
                <w:color w:val="5E6BB8"/>
                <w:sz w:val="24"/>
                <w:szCs w:val="24"/>
              </w:rPr>
              <w:t>—</w:t>
            </w:r>
            <w:r w:rsidRPr="0037593F">
              <w:rPr>
                <w:color w:val="5E6BB8"/>
                <w:sz w:val="24"/>
                <w:szCs w:val="24"/>
                <w:shd w:val="clear" w:color="auto" w:fill="80FFFF"/>
              </w:rPr>
              <w:t>►</w:t>
            </w:r>
          </w:p>
        </w:tc>
        <w:tc>
          <w:tcPr>
            <w:tcW w:w="4680" w:type="dxa"/>
            <w:shd w:val="clear" w:color="auto" w:fill="D3DDFA"/>
            <w:vAlign w:val="center"/>
          </w:tcPr>
          <w:p w:rsidR="00B03714" w:rsidRPr="0037593F" w:rsidRDefault="00E41B36">
            <w:pPr>
              <w:pStyle w:val="a7"/>
              <w:spacing w:after="0" w:line="240" w:lineRule="auto"/>
              <w:jc w:val="center"/>
              <w:rPr>
                <w:sz w:val="24"/>
                <w:szCs w:val="24"/>
              </w:rPr>
            </w:pPr>
            <w:r w:rsidRPr="0037593F">
              <w:rPr>
                <w:rFonts w:eastAsia="Calibri"/>
                <w:sz w:val="24"/>
                <w:szCs w:val="24"/>
              </w:rPr>
              <w:t>Гражданин заключает договор с одним заказчиком</w:t>
            </w:r>
          </w:p>
        </w:tc>
      </w:tr>
      <w:tr w:rsidR="00B03714" w:rsidRPr="0037593F">
        <w:trPr>
          <w:trHeight w:hRule="exact" w:val="907"/>
          <w:jc w:val="center"/>
        </w:trPr>
        <w:tc>
          <w:tcPr>
            <w:tcW w:w="4387" w:type="dxa"/>
            <w:shd w:val="clear" w:color="auto" w:fill="D3DDFA"/>
            <w:vAlign w:val="center"/>
          </w:tcPr>
          <w:p w:rsidR="00B03714" w:rsidRPr="0037593F" w:rsidRDefault="00E41B36">
            <w:pPr>
              <w:pStyle w:val="a7"/>
              <w:spacing w:after="0" w:line="240" w:lineRule="auto"/>
              <w:jc w:val="center"/>
              <w:rPr>
                <w:sz w:val="24"/>
                <w:szCs w:val="24"/>
              </w:rPr>
            </w:pPr>
            <w:r w:rsidRPr="0037593F">
              <w:rPr>
                <w:rFonts w:eastAsia="Calibri"/>
                <w:sz w:val="24"/>
                <w:szCs w:val="24"/>
              </w:rPr>
              <w:t>Срок трудовой деятельности после завершения обучения от 3 лет</w:t>
            </w:r>
          </w:p>
        </w:tc>
        <w:tc>
          <w:tcPr>
            <w:tcW w:w="163" w:type="dxa"/>
            <w:shd w:val="clear" w:color="auto" w:fill="FFFFFF"/>
            <w:vAlign w:val="center"/>
          </w:tcPr>
          <w:p w:rsidR="00B03714" w:rsidRPr="0037593F" w:rsidRDefault="00E41B36">
            <w:pPr>
              <w:pStyle w:val="a7"/>
              <w:spacing w:after="0" w:line="240" w:lineRule="auto"/>
              <w:jc w:val="both"/>
              <w:rPr>
                <w:sz w:val="24"/>
                <w:szCs w:val="24"/>
              </w:rPr>
            </w:pPr>
            <w:r w:rsidRPr="0037593F">
              <w:rPr>
                <w:color w:val="8991AF"/>
                <w:sz w:val="24"/>
                <w:szCs w:val="24"/>
              </w:rPr>
              <w:t>—</w:t>
            </w:r>
            <w:r w:rsidRPr="0037593F">
              <w:rPr>
                <w:color w:val="5E6BB8"/>
                <w:sz w:val="24"/>
                <w:szCs w:val="24"/>
                <w:shd w:val="clear" w:color="auto" w:fill="80FFFF"/>
              </w:rPr>
              <w:t>*■</w:t>
            </w:r>
          </w:p>
        </w:tc>
        <w:tc>
          <w:tcPr>
            <w:tcW w:w="4680" w:type="dxa"/>
            <w:shd w:val="clear" w:color="auto" w:fill="D3DDFA"/>
            <w:vAlign w:val="center"/>
          </w:tcPr>
          <w:p w:rsidR="00B03714" w:rsidRPr="0037593F" w:rsidRDefault="00E41B36">
            <w:pPr>
              <w:pStyle w:val="a7"/>
              <w:spacing w:after="0" w:line="240" w:lineRule="auto"/>
              <w:jc w:val="center"/>
              <w:rPr>
                <w:sz w:val="24"/>
                <w:szCs w:val="24"/>
              </w:rPr>
            </w:pPr>
            <w:r w:rsidRPr="0037593F">
              <w:rPr>
                <w:rFonts w:eastAsia="Calibri"/>
                <w:sz w:val="24"/>
                <w:szCs w:val="24"/>
              </w:rPr>
              <w:t>Срок трудовой деятельности после завершения обучения от 3 до 5 лет</w:t>
            </w:r>
          </w:p>
        </w:tc>
      </w:tr>
      <w:tr w:rsidR="00B03714" w:rsidRPr="0037593F">
        <w:trPr>
          <w:trHeight w:hRule="exact" w:val="749"/>
          <w:jc w:val="center"/>
        </w:trPr>
        <w:tc>
          <w:tcPr>
            <w:tcW w:w="4387" w:type="dxa"/>
            <w:shd w:val="clear" w:color="auto" w:fill="D3DDFA"/>
            <w:vAlign w:val="bottom"/>
          </w:tcPr>
          <w:p w:rsidR="00B03714" w:rsidRPr="0037593F" w:rsidRDefault="00E41B36">
            <w:pPr>
              <w:pStyle w:val="a7"/>
              <w:spacing w:after="0" w:line="240" w:lineRule="auto"/>
              <w:jc w:val="center"/>
              <w:rPr>
                <w:sz w:val="24"/>
                <w:szCs w:val="24"/>
              </w:rPr>
            </w:pPr>
            <w:r w:rsidRPr="0037593F">
              <w:rPr>
                <w:rFonts w:eastAsia="Calibri"/>
                <w:sz w:val="24"/>
                <w:szCs w:val="24"/>
              </w:rPr>
              <w:t>Заключение договора о целевом обучении до зачисления</w:t>
            </w:r>
          </w:p>
        </w:tc>
        <w:tc>
          <w:tcPr>
            <w:tcW w:w="163" w:type="dxa"/>
            <w:shd w:val="clear" w:color="auto" w:fill="FFFFFF"/>
            <w:vAlign w:val="center"/>
          </w:tcPr>
          <w:p w:rsidR="00B03714" w:rsidRPr="0037593F" w:rsidRDefault="00E41B36">
            <w:pPr>
              <w:pStyle w:val="a7"/>
              <w:spacing w:after="0" w:line="240" w:lineRule="auto"/>
              <w:jc w:val="both"/>
              <w:rPr>
                <w:sz w:val="24"/>
                <w:szCs w:val="24"/>
              </w:rPr>
            </w:pPr>
            <w:r w:rsidRPr="0037593F">
              <w:rPr>
                <w:color w:val="5E6BB8"/>
                <w:sz w:val="24"/>
                <w:szCs w:val="24"/>
                <w:shd w:val="clear" w:color="auto" w:fill="80FFFF"/>
              </w:rPr>
              <w:t>-►</w:t>
            </w:r>
          </w:p>
        </w:tc>
        <w:tc>
          <w:tcPr>
            <w:tcW w:w="4680" w:type="dxa"/>
            <w:shd w:val="clear" w:color="auto" w:fill="D3DDFA"/>
            <w:vAlign w:val="bottom"/>
          </w:tcPr>
          <w:p w:rsidR="00B03714" w:rsidRPr="0037593F" w:rsidRDefault="00E41B36">
            <w:pPr>
              <w:pStyle w:val="a7"/>
              <w:spacing w:after="0" w:line="240" w:lineRule="auto"/>
              <w:jc w:val="center"/>
              <w:rPr>
                <w:sz w:val="24"/>
                <w:szCs w:val="24"/>
              </w:rPr>
            </w:pPr>
            <w:r w:rsidRPr="0037593F">
              <w:rPr>
                <w:rFonts w:eastAsia="Calibri"/>
                <w:color w:val="121624"/>
                <w:sz w:val="24"/>
                <w:szCs w:val="24"/>
              </w:rPr>
              <w:t>Заключение договора о целевом обучении после зачисления</w:t>
            </w:r>
          </w:p>
        </w:tc>
      </w:tr>
    </w:tbl>
    <w:p w:rsidR="00B03714" w:rsidRDefault="00B03714">
      <w:pPr>
        <w:spacing w:after="619" w:line="1" w:lineRule="exact"/>
      </w:pPr>
    </w:p>
    <w:p w:rsidR="00B03714" w:rsidRDefault="00E41B36">
      <w:pPr>
        <w:pStyle w:val="20"/>
        <w:keepNext/>
        <w:keepLines/>
        <w:jc w:val="center"/>
      </w:pPr>
      <w:bookmarkStart w:id="6" w:name="bookmark6"/>
      <w:bookmarkStart w:id="7" w:name="bookmark7"/>
      <w:bookmarkStart w:id="8" w:name="bookmark8"/>
      <w:r>
        <w:t>Заказчики целевого обучения</w:t>
      </w:r>
      <w:bookmarkEnd w:id="6"/>
      <w:bookmarkEnd w:id="7"/>
      <w:bookmarkEnd w:id="8"/>
    </w:p>
    <w:p w:rsidR="00B03714" w:rsidRDefault="00E41B36">
      <w:pPr>
        <w:pStyle w:val="11"/>
        <w:spacing w:after="0"/>
        <w:ind w:firstLine="720"/>
        <w:jc w:val="both"/>
      </w:pPr>
      <w:r>
        <w:t>Каждое профильное ведомство берет на себя ответственность за целевое обучение кадров для своей отрасли, подведомственных организаций - выступает заказчиком целевого обучения. Профильное распределение обосновано единственным возможным путем взаимодействия между абитуриентом и заказчиком - сайтом «Работа в России», где содержится вся информация о предложениях, заявках и договорах о целевом обучении.</w:t>
      </w:r>
    </w:p>
    <w:p w:rsidR="00B03714" w:rsidRDefault="00E41B36">
      <w:pPr>
        <w:pStyle w:val="11"/>
        <w:spacing w:after="0"/>
        <w:ind w:firstLine="720"/>
        <w:jc w:val="both"/>
      </w:pPr>
      <w:r>
        <w:t>Заказчики целевого обучения определены статьей 71.1 ФЗ от 29.12.2012 N 273-ФЗ «Об образовании в Российской Федерации». Они должны иметь в уставном капитале долю Российской Федерации, субъекта Российской Федерации или муниципального образования (министерства, комитеты, бюджетные организации).</w:t>
      </w:r>
    </w:p>
    <w:p w:rsidR="00B03714" w:rsidRDefault="00E41B36">
      <w:pPr>
        <w:pStyle w:val="11"/>
        <w:spacing w:after="460"/>
        <w:ind w:firstLine="720"/>
        <w:jc w:val="both"/>
      </w:pPr>
      <w:r>
        <w:t>Работодатели, которые не входят в перечень вышеуказанной статьи, могут обратиться в региональный орган исполнительной власти или другую организацию, которая будет готова выступить заказчиком и контролировать целевое обучение гражданина.</w:t>
      </w:r>
    </w:p>
    <w:p w:rsidR="00B03714" w:rsidRDefault="00E41B36">
      <w:pPr>
        <w:pStyle w:val="20"/>
        <w:keepNext/>
        <w:keepLines/>
        <w:ind w:left="1080"/>
        <w:jc w:val="both"/>
      </w:pPr>
      <w:bookmarkStart w:id="9" w:name="bookmark10"/>
      <w:bookmarkStart w:id="10" w:name="bookmark11"/>
      <w:bookmarkStart w:id="11" w:name="bookmark9"/>
      <w:r>
        <w:lastRenderedPageBreak/>
        <w:t>Механизм организации целевого обучения в высшем образовании:</w:t>
      </w:r>
      <w:bookmarkEnd w:id="9"/>
      <w:bookmarkEnd w:id="10"/>
      <w:bookmarkEnd w:id="11"/>
    </w:p>
    <w:p w:rsidR="00B03714" w:rsidRDefault="00E41B36">
      <w:pPr>
        <w:pStyle w:val="11"/>
        <w:numPr>
          <w:ilvl w:val="0"/>
          <w:numId w:val="1"/>
        </w:numPr>
        <w:tabs>
          <w:tab w:val="left" w:pos="1134"/>
        </w:tabs>
        <w:spacing w:after="0"/>
        <w:ind w:firstLine="720"/>
        <w:jc w:val="both"/>
      </w:pPr>
      <w:bookmarkStart w:id="12" w:name="bookmark12"/>
      <w:bookmarkEnd w:id="12"/>
      <w:r>
        <w:t xml:space="preserve">До 10 июня заказчик ежегодно подает потребность кадров для целевого обучения на сайте «Работа в России» путем направления предложения о целевом обучении (обязательно включаются меры социальной поддержки, работодатель, университет и конкретное направление). Предложение проходит модерацию в ЦЗН и публикуется не позднее 20 июня. Опубликованное предложение </w:t>
      </w:r>
      <w:r>
        <w:rPr>
          <w:u w:val="single"/>
        </w:rPr>
        <w:t>нельзя изменить или удалить</w:t>
      </w:r>
      <w:r>
        <w:t xml:space="preserve"> после 10 июня.</w:t>
      </w:r>
    </w:p>
    <w:p w:rsidR="00B03714" w:rsidRDefault="00E41B36">
      <w:pPr>
        <w:pStyle w:val="11"/>
        <w:numPr>
          <w:ilvl w:val="0"/>
          <w:numId w:val="1"/>
        </w:numPr>
        <w:tabs>
          <w:tab w:val="left" w:pos="1134"/>
        </w:tabs>
        <w:spacing w:after="0"/>
        <w:ind w:firstLine="720"/>
        <w:jc w:val="both"/>
      </w:pPr>
      <w:bookmarkStart w:id="13" w:name="bookmark13"/>
      <w:bookmarkEnd w:id="13"/>
      <w:r>
        <w:t xml:space="preserve">Абитуриенты видят все опубликованные предложения от региона в Госуслугах (суперсервис «Поступай в вуз онлайн»), выбирают </w:t>
      </w:r>
      <w:r>
        <w:rPr>
          <w:b/>
          <w:bCs/>
          <w:u w:val="single"/>
        </w:rPr>
        <w:t xml:space="preserve">одно </w:t>
      </w:r>
      <w:r>
        <w:t>понравившееся, подают документы в обозначенный в предложении университет до 25 июля (если поступают по результатам ЕГЭ) в электронном или письменном виде. Прием заявок на целевое обучение по срокам совпадает с приемом заявлений на поступление в университетах и подается одновременно с заявлением на поступление в университет.</w:t>
      </w:r>
    </w:p>
    <w:p w:rsidR="00B03714" w:rsidRDefault="00E41B36">
      <w:pPr>
        <w:pStyle w:val="11"/>
        <w:numPr>
          <w:ilvl w:val="0"/>
          <w:numId w:val="1"/>
        </w:numPr>
        <w:tabs>
          <w:tab w:val="left" w:pos="1134"/>
        </w:tabs>
        <w:spacing w:after="0"/>
        <w:ind w:firstLine="720"/>
        <w:jc w:val="both"/>
      </w:pPr>
      <w:bookmarkStart w:id="14" w:name="bookmark14"/>
      <w:bookmarkEnd w:id="14"/>
      <w:r>
        <w:t>Университет сообщает заказчику в течение 1 дня о приеме заявления на предложение, направляет копию заявки заказчику (если документы были поданы лично). Заказчик обязан внести абитуриента на «Работу в России». Если документы поданы через Госуслуги, то на «Работе в России» информация об абитуриенте появится автоматически.</w:t>
      </w:r>
    </w:p>
    <w:p w:rsidR="00B03714" w:rsidRDefault="00E41B36">
      <w:pPr>
        <w:pStyle w:val="11"/>
        <w:numPr>
          <w:ilvl w:val="0"/>
          <w:numId w:val="1"/>
        </w:numPr>
        <w:tabs>
          <w:tab w:val="left" w:pos="1134"/>
        </w:tabs>
        <w:spacing w:after="0"/>
        <w:ind w:firstLine="720"/>
        <w:jc w:val="both"/>
      </w:pPr>
      <w:bookmarkStart w:id="15" w:name="bookmark15"/>
      <w:bookmarkEnd w:id="15"/>
      <w:r>
        <w:t>Университет отбирает среди всех подавших заявления на одно предложение абитуриентов с наивысшими баллами согласно количеству мест целевой квоты и количеству мест в предложении заказчика, публикует приказы о зачислении. После зачисления гражданина в рамках целевой квоты нельзя отказаться от заключения договора и уйти на общий конкурс бюджетных мест.</w:t>
      </w:r>
    </w:p>
    <w:p w:rsidR="00B03714" w:rsidRDefault="00E41B36">
      <w:pPr>
        <w:pStyle w:val="11"/>
        <w:numPr>
          <w:ilvl w:val="0"/>
          <w:numId w:val="1"/>
        </w:numPr>
        <w:tabs>
          <w:tab w:val="left" w:pos="1134"/>
        </w:tabs>
        <w:spacing w:after="0"/>
        <w:ind w:firstLine="720"/>
        <w:jc w:val="both"/>
      </w:pPr>
      <w:bookmarkStart w:id="16" w:name="bookmark16"/>
      <w:bookmarkEnd w:id="16"/>
      <w:r>
        <w:t>В личном кабинете заказчика после зачисления меняется статус абитуриентов на «Зачислен». До выхода на учебу необходимо заключить договор о целевом обучении. Договор формируется автоматически в личном кабинете заказчика согласно предложению, подписывается электронной подписью руководителя и направляется на подписание гражданину в Госуслуги.</w:t>
      </w:r>
    </w:p>
    <w:p w:rsidR="00B03714" w:rsidRDefault="00E41B36">
      <w:pPr>
        <w:pStyle w:val="11"/>
        <w:numPr>
          <w:ilvl w:val="0"/>
          <w:numId w:val="1"/>
        </w:numPr>
        <w:tabs>
          <w:tab w:val="left" w:pos="1134"/>
        </w:tabs>
        <w:spacing w:after="160"/>
        <w:ind w:firstLine="720"/>
        <w:jc w:val="both"/>
      </w:pPr>
      <w:bookmarkStart w:id="17" w:name="bookmark17"/>
      <w:bookmarkEnd w:id="17"/>
      <w:r>
        <w:t>Заказчик контролирует информацию об успеваемости, преждевременном отчислении через личный кабинет на «Работе в России». Расторжение договора происходит в электронном виде. Расторжение договора по согласованию сторон невозможно.</w:t>
      </w:r>
    </w:p>
    <w:p w:rsidR="00B03714" w:rsidRDefault="00E41B36">
      <w:pPr>
        <w:pStyle w:val="20"/>
        <w:keepNext/>
        <w:keepLines/>
        <w:jc w:val="center"/>
      </w:pPr>
      <w:bookmarkStart w:id="18" w:name="bookmark18"/>
      <w:bookmarkStart w:id="19" w:name="bookmark19"/>
      <w:bookmarkStart w:id="20" w:name="bookmark20"/>
      <w:r>
        <w:t>Справочная информация</w:t>
      </w:r>
      <w:bookmarkEnd w:id="18"/>
      <w:bookmarkEnd w:id="19"/>
      <w:bookmarkEnd w:id="20"/>
    </w:p>
    <w:p w:rsidR="00B03714" w:rsidRDefault="00E41B36">
      <w:pPr>
        <w:pStyle w:val="11"/>
        <w:spacing w:after="300"/>
        <w:jc w:val="center"/>
      </w:pPr>
      <w:r>
        <w:rPr>
          <w:u w:val="single"/>
        </w:rPr>
        <w:t>Нажав на текст, файл можно открыть и скачать</w:t>
      </w:r>
    </w:p>
    <w:p w:rsidR="00B03714" w:rsidRDefault="00201D57">
      <w:pPr>
        <w:pStyle w:val="11"/>
        <w:numPr>
          <w:ilvl w:val="0"/>
          <w:numId w:val="2"/>
        </w:numPr>
        <w:tabs>
          <w:tab w:val="left" w:pos="346"/>
        </w:tabs>
        <w:spacing w:after="0" w:line="264" w:lineRule="auto"/>
        <w:jc w:val="both"/>
      </w:pPr>
      <w:hyperlink r:id="rId7" w:history="1">
        <w:bookmarkStart w:id="21" w:name="bookmark23"/>
        <w:bookmarkEnd w:id="21"/>
        <w:r w:rsidR="00E41B36">
          <w:rPr>
            <w:color w:val="0563C1"/>
            <w:u w:val="single"/>
          </w:rPr>
          <w:t>Инструкция для абиту</w:t>
        </w:r>
        <w:r w:rsidR="00E41B36">
          <w:rPr>
            <w:color w:val="0563C1"/>
            <w:u w:val="single"/>
          </w:rPr>
          <w:t>р</w:t>
        </w:r>
        <w:r w:rsidR="00E41B36">
          <w:rPr>
            <w:color w:val="0563C1"/>
            <w:u w:val="single"/>
          </w:rPr>
          <w:t>иентов, поступающих на высшее образование</w:t>
        </w:r>
      </w:hyperlink>
    </w:p>
    <w:p w:rsidR="00B03714" w:rsidRDefault="00B03714" w:rsidP="0037593F">
      <w:pPr>
        <w:pStyle w:val="11"/>
        <w:tabs>
          <w:tab w:val="left" w:pos="346"/>
        </w:tabs>
        <w:spacing w:after="0" w:line="264" w:lineRule="auto"/>
        <w:ind w:left="440"/>
        <w:jc w:val="both"/>
      </w:pPr>
    </w:p>
    <w:p w:rsidR="00201D57" w:rsidRDefault="00201D57">
      <w:pPr>
        <w:pStyle w:val="11"/>
        <w:spacing w:after="680" w:line="262" w:lineRule="auto"/>
        <w:jc w:val="center"/>
        <w:rPr>
          <w:b/>
          <w:bCs/>
        </w:rPr>
      </w:pPr>
    </w:p>
    <w:p w:rsidR="00201D57" w:rsidRDefault="00201D57">
      <w:pPr>
        <w:pStyle w:val="11"/>
        <w:spacing w:after="680" w:line="262" w:lineRule="auto"/>
        <w:jc w:val="center"/>
        <w:rPr>
          <w:b/>
          <w:bCs/>
        </w:rPr>
      </w:pPr>
    </w:p>
    <w:p w:rsidR="00B03714" w:rsidRDefault="00E41B36">
      <w:pPr>
        <w:pStyle w:val="11"/>
        <w:spacing w:after="680" w:line="262" w:lineRule="auto"/>
        <w:jc w:val="center"/>
      </w:pPr>
      <w:bookmarkStart w:id="22" w:name="_GoBack"/>
      <w:bookmarkEnd w:id="22"/>
      <w:r>
        <w:rPr>
          <w:b/>
          <w:bCs/>
        </w:rPr>
        <w:t>Важные даты абитуриента, планирующего поступление</w:t>
      </w:r>
      <w:r>
        <w:rPr>
          <w:b/>
          <w:bCs/>
        </w:rPr>
        <w:br/>
        <w:t>на целевое обучение по программам высшего образования</w:t>
      </w:r>
    </w:p>
    <w:p w:rsidR="00B03714" w:rsidRDefault="00E41B36">
      <w:pPr>
        <w:pStyle w:val="20"/>
        <w:keepNext/>
        <w:keepLines/>
        <w:jc w:val="both"/>
      </w:pPr>
      <w:bookmarkStart w:id="23" w:name="bookmark26"/>
      <w:bookmarkStart w:id="24" w:name="bookmark27"/>
      <w:bookmarkStart w:id="25" w:name="bookmark28"/>
      <w:r>
        <w:lastRenderedPageBreak/>
        <w:t>до 01 ноября 2024 года</w:t>
      </w:r>
      <w:bookmarkEnd w:id="23"/>
      <w:bookmarkEnd w:id="24"/>
      <w:bookmarkEnd w:id="25"/>
    </w:p>
    <w:p w:rsidR="00B03714" w:rsidRDefault="00E41B36">
      <w:pPr>
        <w:pStyle w:val="11"/>
        <w:spacing w:after="340"/>
        <w:jc w:val="both"/>
      </w:pPr>
      <w:r>
        <w:t>информация о количестве бюджетных мест размещена на сайтах университетов</w:t>
      </w:r>
    </w:p>
    <w:p w:rsidR="00B03714" w:rsidRDefault="00E41B36">
      <w:pPr>
        <w:pStyle w:val="20"/>
        <w:keepNext/>
        <w:keepLines/>
        <w:spacing w:line="257" w:lineRule="auto"/>
        <w:jc w:val="both"/>
      </w:pPr>
      <w:bookmarkStart w:id="26" w:name="bookmark29"/>
      <w:bookmarkStart w:id="27" w:name="bookmark30"/>
      <w:bookmarkStart w:id="28" w:name="bookmark31"/>
      <w:r>
        <w:t>до 01 марта 2025 года</w:t>
      </w:r>
      <w:bookmarkEnd w:id="26"/>
      <w:bookmarkEnd w:id="27"/>
      <w:bookmarkEnd w:id="28"/>
    </w:p>
    <w:p w:rsidR="00B03714" w:rsidRDefault="00E41B36">
      <w:pPr>
        <w:pStyle w:val="11"/>
        <w:spacing w:after="340" w:line="257" w:lineRule="auto"/>
        <w:jc w:val="both"/>
      </w:pPr>
      <w:r>
        <w:t>информация о долях целевых мест из бюджетной квоты публикуется Правительством Российской Федерации</w:t>
      </w:r>
    </w:p>
    <w:p w:rsidR="00B03714" w:rsidRDefault="00E41B36">
      <w:pPr>
        <w:pStyle w:val="20"/>
        <w:keepNext/>
        <w:keepLines/>
        <w:jc w:val="both"/>
      </w:pPr>
      <w:bookmarkStart w:id="29" w:name="bookmark32"/>
      <w:bookmarkStart w:id="30" w:name="bookmark33"/>
      <w:bookmarkStart w:id="31" w:name="bookmark34"/>
      <w:r>
        <w:t>до 10 июня 2025 года</w:t>
      </w:r>
      <w:bookmarkEnd w:id="29"/>
      <w:bookmarkEnd w:id="30"/>
      <w:bookmarkEnd w:id="31"/>
    </w:p>
    <w:p w:rsidR="00B03714" w:rsidRDefault="00E41B36">
      <w:pPr>
        <w:pStyle w:val="11"/>
        <w:spacing w:after="340"/>
        <w:jc w:val="both"/>
      </w:pPr>
      <w:r>
        <w:t>заказчики целевого обучения вносят предложения на сайте «Работа в России»</w:t>
      </w:r>
    </w:p>
    <w:p w:rsidR="00B03714" w:rsidRDefault="00E41B36">
      <w:pPr>
        <w:pStyle w:val="20"/>
        <w:keepNext/>
        <w:keepLines/>
        <w:jc w:val="both"/>
      </w:pPr>
      <w:bookmarkStart w:id="32" w:name="bookmark35"/>
      <w:bookmarkStart w:id="33" w:name="bookmark36"/>
      <w:bookmarkStart w:id="34" w:name="bookmark37"/>
      <w:r>
        <w:t>с 20 июня до 25 июля 2025 года</w:t>
      </w:r>
      <w:bookmarkEnd w:id="32"/>
      <w:bookmarkEnd w:id="33"/>
      <w:bookmarkEnd w:id="34"/>
    </w:p>
    <w:p w:rsidR="00B03714" w:rsidRDefault="00E41B36">
      <w:pPr>
        <w:pStyle w:val="11"/>
        <w:spacing w:after="340"/>
        <w:jc w:val="both"/>
      </w:pPr>
      <w:r>
        <w:t>прием заявлений на поступление и заявок на целевое обучение университетами (сроки рекомендуется уточнить в приемной комиссии, для граждан, поступающих по результатам внутренних вступительных испытаний срок приема документов отличается)</w:t>
      </w:r>
    </w:p>
    <w:p w:rsidR="00B03714" w:rsidRDefault="00E41B36">
      <w:pPr>
        <w:pStyle w:val="20"/>
        <w:keepNext/>
        <w:keepLines/>
        <w:jc w:val="both"/>
      </w:pPr>
      <w:bookmarkStart w:id="35" w:name="bookmark38"/>
      <w:bookmarkStart w:id="36" w:name="bookmark39"/>
      <w:bookmarkStart w:id="37" w:name="bookmark40"/>
      <w:r>
        <w:t>до 28 июля 2025 года</w:t>
      </w:r>
      <w:bookmarkEnd w:id="35"/>
      <w:bookmarkEnd w:id="36"/>
      <w:bookmarkEnd w:id="37"/>
    </w:p>
    <w:p w:rsidR="00B03714" w:rsidRDefault="00E41B36">
      <w:pPr>
        <w:pStyle w:val="11"/>
        <w:spacing w:after="340"/>
        <w:jc w:val="both"/>
      </w:pPr>
      <w:r>
        <w:t>публикация приказов о зачислении в рамках целевой квоты</w:t>
      </w:r>
    </w:p>
    <w:p w:rsidR="00B03714" w:rsidRDefault="00E41B36">
      <w:pPr>
        <w:pStyle w:val="20"/>
        <w:keepNext/>
        <w:keepLines/>
        <w:spacing w:line="257" w:lineRule="auto"/>
        <w:jc w:val="both"/>
      </w:pPr>
      <w:bookmarkStart w:id="38" w:name="bookmark41"/>
      <w:bookmarkStart w:id="39" w:name="bookmark42"/>
      <w:bookmarkStart w:id="40" w:name="bookmark43"/>
      <w:r>
        <w:t>До 31 августа 2025 года</w:t>
      </w:r>
      <w:bookmarkEnd w:id="38"/>
      <w:bookmarkEnd w:id="39"/>
      <w:bookmarkEnd w:id="40"/>
    </w:p>
    <w:p w:rsidR="00B03714" w:rsidRDefault="00E41B36">
      <w:pPr>
        <w:pStyle w:val="11"/>
        <w:spacing w:after="340" w:line="257" w:lineRule="auto"/>
        <w:jc w:val="both"/>
        <w:sectPr w:rsidR="00B03714">
          <w:pgSz w:w="11900" w:h="16840"/>
          <w:pgMar w:top="1081" w:right="813" w:bottom="756" w:left="1098" w:header="653" w:footer="328" w:gutter="0"/>
          <w:pgNumType w:start="1"/>
          <w:cols w:space="720"/>
          <w:noEndnote/>
          <w:docGrid w:linePitch="360"/>
        </w:sectPr>
      </w:pPr>
      <w:r>
        <w:t>заключение договоров о целевом обучении с гражданами, зачисленными в рамках целевой квоты</w:t>
      </w:r>
    </w:p>
    <w:p w:rsidR="00B03714" w:rsidRDefault="00E41B36">
      <w:pPr>
        <w:pStyle w:val="20"/>
        <w:keepNext/>
        <w:keepLines/>
        <w:spacing w:after="140"/>
        <w:jc w:val="center"/>
      </w:pPr>
      <w:bookmarkStart w:id="41" w:name="bookmark46"/>
      <w:r>
        <w:lastRenderedPageBreak/>
        <w:t>Ответы на часто задаваемые вопросы</w:t>
      </w:r>
      <w:bookmarkEnd w:id="41"/>
    </w:p>
    <w:p w:rsidR="00B03714" w:rsidRDefault="00E41B36">
      <w:pPr>
        <w:pStyle w:val="20"/>
        <w:keepNext/>
        <w:keepLines/>
        <w:jc w:val="both"/>
      </w:pPr>
      <w:bookmarkStart w:id="42" w:name="bookmark51"/>
      <w:bookmarkStart w:id="43" w:name="bookmark52"/>
      <w:bookmarkStart w:id="44" w:name="bookmark53"/>
      <w:r>
        <w:t>Существует ли предварительный список целевых мест, как было раньше? Где можно с ним ознакомиться?</w:t>
      </w:r>
      <w:bookmarkEnd w:id="42"/>
      <w:bookmarkEnd w:id="43"/>
      <w:bookmarkEnd w:id="44"/>
    </w:p>
    <w:p w:rsidR="00B03714" w:rsidRDefault="00E41B36">
      <w:pPr>
        <w:pStyle w:val="11"/>
        <w:jc w:val="both"/>
      </w:pPr>
      <w:r>
        <w:rPr>
          <w:b/>
          <w:bCs/>
        </w:rPr>
        <w:t xml:space="preserve">Ответ: </w:t>
      </w:r>
      <w:r>
        <w:t>в привычном виде списка целевых мест больше не существует. Данные о заказчиках целевого обучения ежегодно публикуются на сайте «Работа в России» и доступны в полном объеме для граждан с 20 июня через суперсервис «Поступай в вуз онлайн».</w:t>
      </w:r>
    </w:p>
    <w:p w:rsidR="00B03714" w:rsidRDefault="00E41B36">
      <w:pPr>
        <w:pStyle w:val="20"/>
        <w:keepNext/>
        <w:keepLines/>
        <w:jc w:val="both"/>
      </w:pPr>
      <w:bookmarkStart w:id="45" w:name="bookmark54"/>
      <w:bookmarkStart w:id="46" w:name="bookmark55"/>
      <w:bookmarkStart w:id="47" w:name="bookmark56"/>
      <w:r>
        <w:t>Нужно ли брать ходатайство от работодателя, чтобы повысить шанс на зачисление в рамках целевой квоты?</w:t>
      </w:r>
      <w:bookmarkEnd w:id="45"/>
      <w:bookmarkEnd w:id="46"/>
      <w:bookmarkEnd w:id="47"/>
    </w:p>
    <w:p w:rsidR="00B03714" w:rsidRDefault="00E41B36">
      <w:pPr>
        <w:pStyle w:val="11"/>
        <w:jc w:val="both"/>
      </w:pPr>
      <w:r>
        <w:rPr>
          <w:b/>
          <w:bCs/>
        </w:rPr>
        <w:t xml:space="preserve">Ответ: </w:t>
      </w:r>
      <w:r>
        <w:t>нет, в конкурсном отборе учитываются только баллы ЕГЭ по профильным предметам и индивидуальные достижения, установленные правилами приема конкретного университета (до 10 баллов).</w:t>
      </w:r>
    </w:p>
    <w:p w:rsidR="00B03714" w:rsidRDefault="00E41B36">
      <w:pPr>
        <w:pStyle w:val="20"/>
        <w:keepNext/>
        <w:keepLines/>
        <w:jc w:val="both"/>
      </w:pPr>
      <w:bookmarkStart w:id="48" w:name="bookmark57"/>
      <w:bookmarkStart w:id="49" w:name="bookmark58"/>
      <w:bookmarkStart w:id="50" w:name="bookmark59"/>
      <w:r>
        <w:t>Куда и когда подавать бумажное заявление на целевое обучение? Какие документы собирать?</w:t>
      </w:r>
      <w:bookmarkEnd w:id="48"/>
      <w:bookmarkEnd w:id="49"/>
      <w:bookmarkEnd w:id="50"/>
    </w:p>
    <w:p w:rsidR="00B03714" w:rsidRDefault="00E41B36">
      <w:pPr>
        <w:pStyle w:val="11"/>
        <w:jc w:val="both"/>
      </w:pPr>
      <w:r>
        <w:rPr>
          <w:b/>
          <w:bCs/>
        </w:rPr>
        <w:t xml:space="preserve">Ответ: </w:t>
      </w:r>
      <w:r>
        <w:t>подавать заранее бумажные заявления не требуется. Подача заявки на целевое обучение возможна двумя способами: через «Госуслуги» абитуриента (суперсервис «Поступай в вуз онлайн» или лично в приемной комиссии), сроки приема заявок совпадают со сроками приема заявлений на поступление в университет. Обращаем внимание, что подать можно только одну заявку одним из способов, указанных выше.</w:t>
      </w:r>
    </w:p>
    <w:p w:rsidR="00B03714" w:rsidRDefault="00E41B36">
      <w:pPr>
        <w:pStyle w:val="20"/>
        <w:keepNext/>
        <w:keepLines/>
        <w:jc w:val="both"/>
      </w:pPr>
      <w:bookmarkStart w:id="51" w:name="bookmark60"/>
      <w:bookmarkStart w:id="52" w:name="bookmark61"/>
      <w:bookmarkStart w:id="53" w:name="bookmark62"/>
      <w:r>
        <w:t>Можно ли отказаться от заключения договора о целевом обучении?</w:t>
      </w:r>
      <w:bookmarkEnd w:id="51"/>
      <w:bookmarkEnd w:id="52"/>
      <w:bookmarkEnd w:id="53"/>
    </w:p>
    <w:p w:rsidR="00B03714" w:rsidRDefault="00E41B36">
      <w:pPr>
        <w:pStyle w:val="11"/>
        <w:jc w:val="both"/>
      </w:pPr>
      <w:r>
        <w:rPr>
          <w:b/>
          <w:bCs/>
        </w:rPr>
        <w:t xml:space="preserve">Ответ: </w:t>
      </w:r>
      <w:r>
        <w:t>да, отказаться без последствий можно до момента зачисления, отозвав свою заявку через «Госуслуги» или приемную комиссию университета. Если вы уже зачислены (опубликован приказ), отказавшись от заключения договора, вы можете претендовать только на платные места.</w:t>
      </w:r>
    </w:p>
    <w:p w:rsidR="00B03714" w:rsidRDefault="00E41B36">
      <w:pPr>
        <w:pStyle w:val="11"/>
        <w:spacing w:after="0"/>
        <w:jc w:val="both"/>
      </w:pPr>
      <w:r>
        <w:rPr>
          <w:b/>
          <w:bCs/>
        </w:rPr>
        <w:t>У меня есть свой заказчик, которому точно требуется специалист и который готов оказывать меры социальной поддержки. Как добавить его предложение в систему? Как сделать, чтобы место досталось именно мне?</w:t>
      </w:r>
    </w:p>
    <w:p w:rsidR="00B03714" w:rsidRDefault="00E41B36">
      <w:pPr>
        <w:pStyle w:val="11"/>
        <w:jc w:val="both"/>
      </w:pPr>
      <w:r>
        <w:rPr>
          <w:b/>
          <w:bCs/>
        </w:rPr>
        <w:t xml:space="preserve">Ответ: </w:t>
      </w:r>
      <w:r>
        <w:t xml:space="preserve">нельзя гарантировать, что именно вы займете место, опубликованное вашим заказчиком. Отбор происходит на основании результатов ЕГЭ по профильным предметам. Заказчик должен до 10 июня 2025 года опубликовать свое предложение с указанием конкретного университета и направления подготовки на сайте «Работа в России». После публикации внести изменения в предложение, удалить его или отказаться от заключения договора </w:t>
      </w:r>
      <w:r>
        <w:rPr>
          <w:u w:val="single"/>
        </w:rPr>
        <w:t xml:space="preserve">нельзя, </w:t>
      </w:r>
      <w:r>
        <w:t>даже если на место зачислен незнакомый человек из другого региона.</w:t>
      </w:r>
    </w:p>
    <w:p w:rsidR="00B03714" w:rsidRDefault="00E41B36">
      <w:pPr>
        <w:pStyle w:val="20"/>
        <w:keepNext/>
        <w:keepLines/>
        <w:jc w:val="both"/>
      </w:pPr>
      <w:bookmarkStart w:id="54" w:name="bookmark66"/>
      <w:bookmarkStart w:id="55" w:name="bookmark67"/>
      <w:bookmarkStart w:id="56" w:name="bookmark68"/>
      <w:r>
        <w:t>Нужно ли платить за целевое обучение?</w:t>
      </w:r>
      <w:bookmarkEnd w:id="54"/>
      <w:bookmarkEnd w:id="55"/>
      <w:bookmarkEnd w:id="56"/>
    </w:p>
    <w:p w:rsidR="00B03714" w:rsidRDefault="00E41B36">
      <w:pPr>
        <w:pStyle w:val="11"/>
        <w:jc w:val="both"/>
      </w:pPr>
      <w:r>
        <w:rPr>
          <w:b/>
          <w:bCs/>
        </w:rPr>
        <w:t xml:space="preserve">Ответ: </w:t>
      </w:r>
      <w:r>
        <w:t xml:space="preserve">Зачисление происходит на бюджетное место, гражданин получает стипендию, если учится на «хорошо» и «отлично». В случае, если гражданин отчисляется из университета до завершения обучения и причины не соответствуют </w:t>
      </w:r>
      <w:r>
        <w:lastRenderedPageBreak/>
        <w:t>пунктам Постановления, на него возлагается штрафные санкции, которые следует возместить в университет, в размере стоимости обучения за весь фактический период обучения. Заказчику возмещаются меры социальной поддержки, оказанные за период обучения.</w:t>
      </w:r>
    </w:p>
    <w:p w:rsidR="00B03714" w:rsidRDefault="00E41B36">
      <w:pPr>
        <w:pStyle w:val="20"/>
        <w:keepNext/>
        <w:keepLines/>
        <w:jc w:val="both"/>
      </w:pPr>
      <w:bookmarkStart w:id="57" w:name="bookmark69"/>
      <w:bookmarkStart w:id="58" w:name="bookmark70"/>
      <w:bookmarkStart w:id="59" w:name="bookmark71"/>
      <w:r>
        <w:t>Сколько нужно будет отработать после выпуска?</w:t>
      </w:r>
      <w:bookmarkEnd w:id="57"/>
      <w:bookmarkEnd w:id="58"/>
      <w:bookmarkEnd w:id="59"/>
    </w:p>
    <w:p w:rsidR="00B03714" w:rsidRDefault="00E41B36">
      <w:pPr>
        <w:pStyle w:val="11"/>
        <w:jc w:val="both"/>
      </w:pPr>
      <w:r>
        <w:rPr>
          <w:b/>
          <w:bCs/>
        </w:rPr>
        <w:t xml:space="preserve">Ответ: </w:t>
      </w:r>
      <w:r>
        <w:t>от 3 до 5 лет. Это определяет заказчик или работодатель. Срок трудоустройства можно будет узнать в предложении во время подачи заявки, также он будет четко прописан в договоре о целевом обучении.</w:t>
      </w:r>
    </w:p>
    <w:p w:rsidR="00B03714" w:rsidRDefault="00E41B36">
      <w:pPr>
        <w:pStyle w:val="20"/>
        <w:keepNext/>
        <w:keepLines/>
        <w:jc w:val="both"/>
      </w:pPr>
      <w:bookmarkStart w:id="60" w:name="bookmark72"/>
      <w:bookmarkStart w:id="61" w:name="bookmark73"/>
      <w:bookmarkStart w:id="62" w:name="bookmark74"/>
      <w:r>
        <w:t>Какие обязанности у сторон договора о целевом обучении?</w:t>
      </w:r>
      <w:bookmarkEnd w:id="60"/>
      <w:bookmarkEnd w:id="61"/>
      <w:bookmarkEnd w:id="62"/>
    </w:p>
    <w:p w:rsidR="00B03714" w:rsidRDefault="00E41B36">
      <w:pPr>
        <w:pStyle w:val="11"/>
        <w:jc w:val="both"/>
      </w:pPr>
      <w:r>
        <w:rPr>
          <w:b/>
          <w:bCs/>
        </w:rPr>
        <w:t xml:space="preserve">Ответ: </w:t>
      </w:r>
      <w:r>
        <w:t>Гражданин обязан освоить образовательную программу и трудоустроиться к заказчику (или работодателю) на срок, указанный в договоре о целевом обучении. Заказчик обязан предоставлять меры социальной поддержки и трудоустроить гражданина после получения образования.</w:t>
      </w:r>
    </w:p>
    <w:p w:rsidR="00B03714" w:rsidRDefault="00B03714">
      <w:pPr>
        <w:pStyle w:val="11"/>
        <w:jc w:val="both"/>
      </w:pPr>
    </w:p>
    <w:sectPr w:rsidR="00B03714">
      <w:pgSz w:w="11900" w:h="16840"/>
      <w:pgMar w:top="850" w:right="812" w:bottom="861" w:left="1104" w:header="422" w:footer="43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36" w:rsidRDefault="00E41B36">
      <w:r>
        <w:separator/>
      </w:r>
    </w:p>
  </w:endnote>
  <w:endnote w:type="continuationSeparator" w:id="0">
    <w:p w:rsidR="00E41B36" w:rsidRDefault="00E4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36" w:rsidRDefault="00E41B36"/>
  </w:footnote>
  <w:footnote w:type="continuationSeparator" w:id="0">
    <w:p w:rsidR="00E41B36" w:rsidRDefault="00E41B3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32A"/>
    <w:multiLevelType w:val="multilevel"/>
    <w:tmpl w:val="3BEC5F9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D1F2B"/>
    <w:multiLevelType w:val="multilevel"/>
    <w:tmpl w:val="D0806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14"/>
    <w:rsid w:val="00201D57"/>
    <w:rsid w:val="0037593F"/>
    <w:rsid w:val="00B03714"/>
    <w:rsid w:val="00E4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3327"/>
  <w15:docId w15:val="{782D915C-3B5F-4370-B9A7-A04F5AA0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72"/>
      <w:szCs w:val="72"/>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560"/>
      <w:jc w:val="center"/>
      <w:outlineLvl w:val="0"/>
    </w:pPr>
    <w:rPr>
      <w:rFonts w:ascii="Times New Roman" w:eastAsia="Times New Roman" w:hAnsi="Times New Roman" w:cs="Times New Roman"/>
      <w:sz w:val="72"/>
      <w:szCs w:val="72"/>
    </w:rPr>
  </w:style>
  <w:style w:type="paragraph" w:customStyle="1" w:styleId="20">
    <w:name w:val="Заголовок №2"/>
    <w:basedOn w:val="a"/>
    <w:link w:val="2"/>
    <w:pPr>
      <w:spacing w:line="259" w:lineRule="auto"/>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after="260" w:line="259" w:lineRule="auto"/>
    </w:pPr>
    <w:rPr>
      <w:rFonts w:ascii="Times New Roman" w:eastAsia="Times New Roman" w:hAnsi="Times New Roman" w:cs="Times New Roman"/>
      <w:sz w:val="28"/>
      <w:szCs w:val="28"/>
    </w:rPr>
  </w:style>
  <w:style w:type="paragraph" w:customStyle="1" w:styleId="a5">
    <w:name w:val="Подпись к таблице"/>
    <w:basedOn w:val="a"/>
    <w:link w:val="a4"/>
    <w:pPr>
      <w:jc w:val="center"/>
    </w:pPr>
    <w:rPr>
      <w:rFonts w:ascii="Times New Roman" w:eastAsia="Times New Roman" w:hAnsi="Times New Roman" w:cs="Times New Roman"/>
      <w:b/>
      <w:bCs/>
      <w:sz w:val="28"/>
      <w:szCs w:val="28"/>
    </w:rPr>
  </w:style>
  <w:style w:type="paragraph" w:customStyle="1" w:styleId="a7">
    <w:name w:val="Другое"/>
    <w:basedOn w:val="a"/>
    <w:link w:val="a6"/>
    <w:pPr>
      <w:spacing w:after="260" w:line="259"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k.yandex.ru/i/kzwzfWt-0gsOV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Пользователь</cp:lastModifiedBy>
  <cp:revision>3</cp:revision>
  <dcterms:created xsi:type="dcterms:W3CDTF">2025-06-23T06:46:00Z</dcterms:created>
  <dcterms:modified xsi:type="dcterms:W3CDTF">2025-06-23T06:53:00Z</dcterms:modified>
</cp:coreProperties>
</file>